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6CEF9" w14:textId="2C6157D4" w:rsidR="009C5D5E" w:rsidRPr="009C5D5E" w:rsidRDefault="009C5D5E" w:rsidP="009C5D5E">
      <w:pPr>
        <w:spacing w:before="100" w:beforeAutospacing="1" w:after="100" w:afterAutospacing="1" w:line="240" w:lineRule="auto"/>
        <w:rPr>
          <w:rFonts w:eastAsia="Times New Roman" w:cstheme="minorHAnsi"/>
          <w:b/>
          <w:bCs/>
          <w:sz w:val="32"/>
          <w:szCs w:val="32"/>
        </w:rPr>
      </w:pPr>
      <w:r w:rsidRPr="009C5D5E">
        <w:rPr>
          <w:rFonts w:eastAsia="Times New Roman" w:cstheme="minorHAnsi"/>
          <w:b/>
          <w:bCs/>
          <w:sz w:val="32"/>
          <w:szCs w:val="32"/>
        </w:rPr>
        <w:t>BD-L</w:t>
      </w:r>
      <w:r w:rsidR="00D30F0C">
        <w:rPr>
          <w:rFonts w:eastAsia="Times New Roman" w:cstheme="minorHAnsi"/>
          <w:b/>
          <w:bCs/>
          <w:sz w:val="32"/>
          <w:szCs w:val="32"/>
        </w:rPr>
        <w:t>S</w:t>
      </w:r>
      <w:r w:rsidRPr="009C5D5E">
        <w:rPr>
          <w:rFonts w:eastAsia="Times New Roman" w:cstheme="minorHAnsi"/>
          <w:b/>
          <w:bCs/>
          <w:sz w:val="32"/>
          <w:szCs w:val="32"/>
        </w:rPr>
        <w:t xml:space="preserve"> (</w:t>
      </w:r>
      <w:r w:rsidR="00D30F0C">
        <w:rPr>
          <w:rFonts w:eastAsia="Times New Roman" w:cstheme="minorHAnsi"/>
          <w:b/>
          <w:bCs/>
          <w:sz w:val="32"/>
          <w:szCs w:val="32"/>
        </w:rPr>
        <w:t>Loop Shield</w:t>
      </w:r>
      <w:r w:rsidRPr="009C5D5E">
        <w:rPr>
          <w:rFonts w:eastAsia="Times New Roman" w:cstheme="minorHAnsi"/>
          <w:b/>
          <w:bCs/>
          <w:sz w:val="32"/>
          <w:szCs w:val="32"/>
        </w:rPr>
        <w:t>)</w:t>
      </w:r>
    </w:p>
    <w:p w14:paraId="58DF095C" w14:textId="5754C073" w:rsidR="009C5D5E" w:rsidRPr="009C5D5E" w:rsidRDefault="009C5D5E" w:rsidP="009C5D5E">
      <w:pPr>
        <w:spacing w:before="100" w:beforeAutospacing="1" w:after="100" w:afterAutospacing="1" w:line="240" w:lineRule="auto"/>
        <w:rPr>
          <w:rFonts w:eastAsia="Times New Roman" w:cstheme="minorHAnsi"/>
          <w:b/>
          <w:bCs/>
        </w:rPr>
      </w:pPr>
      <w:r w:rsidRPr="009C5D5E">
        <w:rPr>
          <w:rFonts w:cstheme="minorHAnsi"/>
        </w:rPr>
        <w:t xml:space="preserve">Available in </w:t>
      </w:r>
      <w:r w:rsidRPr="009C5D5E">
        <w:rPr>
          <w:rStyle w:val="Strong"/>
          <w:rFonts w:cstheme="minorHAnsi"/>
        </w:rPr>
        <w:t>GRAY</w:t>
      </w:r>
      <w:r w:rsidR="00D30F0C">
        <w:rPr>
          <w:rStyle w:val="Strong"/>
          <w:rFonts w:cstheme="minorHAnsi"/>
        </w:rPr>
        <w:t xml:space="preserve"> </w:t>
      </w:r>
      <w:r w:rsidR="00D30F0C" w:rsidRPr="00D30F0C">
        <w:rPr>
          <w:rStyle w:val="Strong"/>
          <w:rFonts w:cstheme="minorHAnsi"/>
          <w:b w:val="0"/>
          <w:bCs w:val="0"/>
        </w:rPr>
        <w:t xml:space="preserve">or </w:t>
      </w:r>
      <w:r w:rsidR="00D30F0C">
        <w:rPr>
          <w:rStyle w:val="Strong"/>
          <w:rFonts w:cstheme="minorHAnsi"/>
        </w:rPr>
        <w:t>Black</w:t>
      </w:r>
      <w:r w:rsidRPr="009C5D5E">
        <w:rPr>
          <w:rFonts w:cstheme="minorHAnsi"/>
        </w:rPr>
        <w:br/>
      </w:r>
      <w:r w:rsidR="00D30F0C">
        <w:rPr>
          <w:rFonts w:cstheme="minorHAnsi"/>
        </w:rPr>
        <w:t>30floz Tubes</w:t>
      </w:r>
      <w:r w:rsidRPr="009C5D5E">
        <w:rPr>
          <w:rFonts w:cstheme="minorHAnsi"/>
        </w:rPr>
        <w:br/>
        <w:t xml:space="preserve">12 </w:t>
      </w:r>
      <w:r w:rsidR="00D30F0C">
        <w:rPr>
          <w:rFonts w:cstheme="minorHAnsi"/>
        </w:rPr>
        <w:t>Tubes</w:t>
      </w:r>
      <w:r w:rsidRPr="009C5D5E">
        <w:rPr>
          <w:rFonts w:cstheme="minorHAnsi"/>
        </w:rPr>
        <w:t xml:space="preserve"> per Case</w:t>
      </w:r>
    </w:p>
    <w:p w14:paraId="229F37EE" w14:textId="770EBF90" w:rsidR="00423C70" w:rsidRPr="00423C70" w:rsidRDefault="00423C70" w:rsidP="00423C70">
      <w:pPr>
        <w:spacing w:before="100" w:beforeAutospacing="1" w:after="100" w:afterAutospacing="1" w:line="240" w:lineRule="auto"/>
        <w:rPr>
          <w:rFonts w:eastAsia="Times New Roman" w:cstheme="minorHAnsi"/>
          <w:sz w:val="24"/>
          <w:szCs w:val="24"/>
        </w:rPr>
      </w:pPr>
      <w:r w:rsidRPr="00423C70">
        <w:rPr>
          <w:rFonts w:eastAsia="Times New Roman" w:cstheme="minorHAnsi"/>
          <w:b/>
          <w:bCs/>
          <w:sz w:val="24"/>
          <w:szCs w:val="24"/>
        </w:rPr>
        <w:t xml:space="preserve">BD Loop Shield </w:t>
      </w:r>
      <w:r w:rsidRPr="00423C70">
        <w:rPr>
          <w:rFonts w:eastAsia="Times New Roman" w:cstheme="minorHAnsi"/>
          <w:sz w:val="24"/>
          <w:szCs w:val="24"/>
        </w:rPr>
        <w:t>is a tough, long lasting, flexible one-part moisture curing self-leveling hybrid sealant. BD-LS protects and shields inductance loop wire in concrete, asphalt, and other substrates.</w:t>
      </w:r>
    </w:p>
    <w:p w14:paraId="5131636D" w14:textId="77777777" w:rsidR="00423C70" w:rsidRPr="00423C70" w:rsidRDefault="00423C70" w:rsidP="00423C70">
      <w:pPr>
        <w:spacing w:before="100" w:beforeAutospacing="1" w:after="100" w:afterAutospacing="1" w:line="240" w:lineRule="auto"/>
        <w:rPr>
          <w:rFonts w:eastAsia="Times New Roman" w:cstheme="minorHAnsi"/>
          <w:sz w:val="24"/>
          <w:szCs w:val="24"/>
        </w:rPr>
      </w:pPr>
      <w:r w:rsidRPr="00423C70">
        <w:rPr>
          <w:rFonts w:eastAsia="Times New Roman" w:cstheme="minorHAnsi"/>
          <w:b/>
          <w:bCs/>
          <w:sz w:val="24"/>
          <w:szCs w:val="24"/>
        </w:rPr>
        <w:t>BD Loop Shield</w:t>
      </w:r>
      <w:r w:rsidRPr="00423C70">
        <w:rPr>
          <w:rFonts w:eastAsia="Times New Roman" w:cstheme="minorHAnsi"/>
          <w:sz w:val="24"/>
          <w:szCs w:val="24"/>
        </w:rPr>
        <w:t xml:space="preserve"> is 100% solids and will not “shrink” or “dip” after application, providing an even/flat finished loop and seal. BD-LS can be applied to damp or dry surfaces and provides a superior seal while still allowing movement and elongation should the joint contract or expand.</w:t>
      </w:r>
    </w:p>
    <w:p w14:paraId="6EC02EC0" w14:textId="377C981B" w:rsidR="00423C70" w:rsidRPr="00423C70" w:rsidRDefault="00423C70" w:rsidP="00423C70">
      <w:pPr>
        <w:spacing w:before="100" w:beforeAutospacing="1" w:after="100" w:afterAutospacing="1" w:line="240" w:lineRule="auto"/>
        <w:rPr>
          <w:rFonts w:eastAsia="Times New Roman" w:cstheme="minorHAnsi"/>
          <w:sz w:val="24"/>
          <w:szCs w:val="24"/>
        </w:rPr>
      </w:pPr>
      <w:r w:rsidRPr="00423C70">
        <w:rPr>
          <w:rFonts w:eastAsia="Times New Roman" w:cstheme="minorHAnsi"/>
          <w:sz w:val="24"/>
          <w:szCs w:val="24"/>
        </w:rPr>
        <w:t>To get the most from your tube of Loop Shield</w:t>
      </w:r>
      <w:r w:rsidR="00AE4FBA">
        <w:rPr>
          <w:rFonts w:eastAsia="Times New Roman" w:cstheme="minorHAnsi"/>
          <w:sz w:val="24"/>
          <w:szCs w:val="24"/>
        </w:rPr>
        <w:t>,</w:t>
      </w:r>
      <w:r w:rsidRPr="00423C70">
        <w:rPr>
          <w:rFonts w:eastAsia="Times New Roman" w:cstheme="minorHAnsi"/>
          <w:sz w:val="24"/>
          <w:szCs w:val="24"/>
        </w:rPr>
        <w:t xml:space="preserve"> use with BD Loops Preformed 3/16” Saw-Cut Loops and a 3/16” Saw Blade. Save Time, Money, and Sealant with BD Loops!</w:t>
      </w:r>
    </w:p>
    <w:p w14:paraId="2C2A1E46" w14:textId="77777777" w:rsidR="00D27972" w:rsidRPr="009F0747" w:rsidRDefault="00D27972" w:rsidP="00D27972">
      <w:pPr>
        <w:pStyle w:val="Heading4"/>
        <w:rPr>
          <w:rFonts w:asciiTheme="minorHAnsi" w:hAnsiTheme="minorHAnsi" w:cstheme="minorHAnsi"/>
          <w:sz w:val="28"/>
          <w:szCs w:val="28"/>
        </w:rPr>
      </w:pPr>
      <w:r w:rsidRPr="009F0747">
        <w:rPr>
          <w:rFonts w:asciiTheme="minorHAnsi" w:hAnsiTheme="minorHAnsi" w:cstheme="minorHAnsi"/>
          <w:sz w:val="28"/>
          <w:szCs w:val="28"/>
        </w:rPr>
        <w:t>Features at a Glance:</w:t>
      </w:r>
    </w:p>
    <w:tbl>
      <w:tblPr>
        <w:tblW w:w="7500" w:type="dxa"/>
        <w:jc w:val="center"/>
        <w:tblCellSpacing w:w="7" w:type="dxa"/>
        <w:tblCellMar>
          <w:top w:w="75" w:type="dxa"/>
          <w:left w:w="75" w:type="dxa"/>
          <w:bottom w:w="75" w:type="dxa"/>
          <w:right w:w="75" w:type="dxa"/>
        </w:tblCellMar>
        <w:tblLook w:val="04A0" w:firstRow="1" w:lastRow="0" w:firstColumn="1" w:lastColumn="0" w:noHBand="0" w:noVBand="1"/>
      </w:tblPr>
      <w:tblGrid>
        <w:gridCol w:w="4081"/>
        <w:gridCol w:w="3419"/>
      </w:tblGrid>
      <w:tr w:rsidR="00D27972" w:rsidRPr="009F0747" w14:paraId="3BA30B33" w14:textId="77777777" w:rsidTr="00D27972">
        <w:trPr>
          <w:tblCellSpacing w:w="7" w:type="dxa"/>
          <w:jc w:val="center"/>
        </w:trPr>
        <w:tc>
          <w:tcPr>
            <w:tcW w:w="0" w:type="auto"/>
            <w:vAlign w:val="center"/>
            <w:hideMark/>
          </w:tcPr>
          <w:p w14:paraId="66D83613" w14:textId="77777777" w:rsidR="00D27972" w:rsidRPr="009F0747" w:rsidRDefault="00D27972" w:rsidP="00D27972">
            <w:pPr>
              <w:numPr>
                <w:ilvl w:val="0"/>
                <w:numId w:val="1"/>
              </w:numPr>
              <w:spacing w:before="100" w:beforeAutospacing="1" w:after="100" w:afterAutospacing="1" w:line="240" w:lineRule="auto"/>
              <w:rPr>
                <w:rFonts w:cstheme="minorHAnsi"/>
              </w:rPr>
            </w:pPr>
            <w:r w:rsidRPr="009F0747">
              <w:rPr>
                <w:rFonts w:cstheme="minorHAnsi"/>
              </w:rPr>
              <w:t>VOC Compliant</w:t>
            </w:r>
          </w:p>
          <w:p w14:paraId="0F9F5E28" w14:textId="77777777" w:rsidR="00D27972" w:rsidRPr="009F0747" w:rsidRDefault="00D27972" w:rsidP="00D27972">
            <w:pPr>
              <w:numPr>
                <w:ilvl w:val="0"/>
                <w:numId w:val="1"/>
              </w:numPr>
              <w:spacing w:before="100" w:beforeAutospacing="1" w:after="100" w:afterAutospacing="1" w:line="240" w:lineRule="auto"/>
              <w:rPr>
                <w:rFonts w:cstheme="minorHAnsi"/>
              </w:rPr>
            </w:pPr>
            <w:r w:rsidRPr="009F0747">
              <w:rPr>
                <w:rFonts w:cstheme="minorHAnsi"/>
              </w:rPr>
              <w:t>Fast Skin &amp; Cure time</w:t>
            </w:r>
          </w:p>
          <w:p w14:paraId="6FEBE38B" w14:textId="77777777" w:rsidR="00D27972" w:rsidRPr="009F0747" w:rsidRDefault="00D27972" w:rsidP="00D27972">
            <w:pPr>
              <w:numPr>
                <w:ilvl w:val="0"/>
                <w:numId w:val="1"/>
              </w:numPr>
              <w:spacing w:before="100" w:beforeAutospacing="1" w:after="100" w:afterAutospacing="1" w:line="240" w:lineRule="auto"/>
              <w:rPr>
                <w:rFonts w:cstheme="minorHAnsi"/>
              </w:rPr>
            </w:pPr>
            <w:r w:rsidRPr="009F0747">
              <w:rPr>
                <w:rFonts w:cstheme="minorHAnsi"/>
              </w:rPr>
              <w:t>Use in All Climates</w:t>
            </w:r>
          </w:p>
          <w:p w14:paraId="4785427B" w14:textId="77777777" w:rsidR="00D27972" w:rsidRPr="009F0747" w:rsidRDefault="00D27972" w:rsidP="00D27972">
            <w:pPr>
              <w:numPr>
                <w:ilvl w:val="0"/>
                <w:numId w:val="1"/>
              </w:numPr>
              <w:spacing w:before="100" w:beforeAutospacing="1" w:after="100" w:afterAutospacing="1" w:line="240" w:lineRule="auto"/>
              <w:rPr>
                <w:rFonts w:cstheme="minorHAnsi"/>
              </w:rPr>
            </w:pPr>
            <w:r w:rsidRPr="009F0747">
              <w:rPr>
                <w:rFonts w:cstheme="minorHAnsi"/>
              </w:rPr>
              <w:t>Apply to Wet / Damp Substrates</w:t>
            </w:r>
          </w:p>
          <w:p w14:paraId="5E54539B" w14:textId="77777777" w:rsidR="00D27972" w:rsidRPr="009F0747" w:rsidRDefault="00D27972" w:rsidP="00D27972">
            <w:pPr>
              <w:numPr>
                <w:ilvl w:val="0"/>
                <w:numId w:val="1"/>
              </w:numPr>
              <w:spacing w:before="100" w:beforeAutospacing="1" w:after="100" w:afterAutospacing="1" w:line="240" w:lineRule="auto"/>
              <w:rPr>
                <w:rFonts w:cstheme="minorHAnsi"/>
              </w:rPr>
            </w:pPr>
            <w:r w:rsidRPr="009F0747">
              <w:rPr>
                <w:rFonts w:cstheme="minorHAnsi"/>
              </w:rPr>
              <w:t>Tolerates Water Before Curing</w:t>
            </w:r>
          </w:p>
          <w:p w14:paraId="641842DD" w14:textId="77777777" w:rsidR="00D27972" w:rsidRPr="009F0747" w:rsidRDefault="00D27972" w:rsidP="00D27972">
            <w:pPr>
              <w:numPr>
                <w:ilvl w:val="0"/>
                <w:numId w:val="1"/>
              </w:numPr>
              <w:spacing w:before="100" w:beforeAutospacing="1" w:after="100" w:afterAutospacing="1" w:line="240" w:lineRule="auto"/>
              <w:rPr>
                <w:rFonts w:cstheme="minorHAnsi"/>
              </w:rPr>
            </w:pPr>
            <w:r w:rsidRPr="009F0747">
              <w:rPr>
                <w:rFonts w:cstheme="minorHAnsi"/>
              </w:rPr>
              <w:t>100% Solids will not Shrink</w:t>
            </w:r>
          </w:p>
          <w:p w14:paraId="11CA0529" w14:textId="77777777" w:rsidR="00D27972" w:rsidRPr="009F0747" w:rsidRDefault="00D27972" w:rsidP="00D27972">
            <w:pPr>
              <w:numPr>
                <w:ilvl w:val="0"/>
                <w:numId w:val="1"/>
              </w:numPr>
              <w:spacing w:before="100" w:beforeAutospacing="1" w:after="100" w:afterAutospacing="1" w:line="240" w:lineRule="auto"/>
              <w:rPr>
                <w:rFonts w:cstheme="minorHAnsi"/>
              </w:rPr>
            </w:pPr>
            <w:r w:rsidRPr="009F0747">
              <w:rPr>
                <w:rFonts w:cstheme="minorHAnsi"/>
              </w:rPr>
              <w:t>Resisting Yellowing</w:t>
            </w:r>
          </w:p>
        </w:tc>
        <w:tc>
          <w:tcPr>
            <w:tcW w:w="0" w:type="auto"/>
            <w:vAlign w:val="center"/>
            <w:hideMark/>
          </w:tcPr>
          <w:p w14:paraId="0E34A674" w14:textId="77777777" w:rsidR="00D27972" w:rsidRPr="009F0747" w:rsidRDefault="00D27972" w:rsidP="00D27972">
            <w:pPr>
              <w:numPr>
                <w:ilvl w:val="0"/>
                <w:numId w:val="2"/>
              </w:numPr>
              <w:spacing w:before="100" w:beforeAutospacing="1" w:after="100" w:afterAutospacing="1" w:line="240" w:lineRule="auto"/>
              <w:rPr>
                <w:rFonts w:cstheme="minorHAnsi"/>
              </w:rPr>
            </w:pPr>
            <w:r w:rsidRPr="009F0747">
              <w:rPr>
                <w:rFonts w:cstheme="minorHAnsi"/>
              </w:rPr>
              <w:t>Proposition 65 Compliant</w:t>
            </w:r>
          </w:p>
          <w:p w14:paraId="14E2583B" w14:textId="77777777" w:rsidR="00D27972" w:rsidRPr="009F0747" w:rsidRDefault="00D27972" w:rsidP="00D27972">
            <w:pPr>
              <w:numPr>
                <w:ilvl w:val="0"/>
                <w:numId w:val="2"/>
              </w:numPr>
              <w:spacing w:before="100" w:beforeAutospacing="1" w:after="100" w:afterAutospacing="1" w:line="240" w:lineRule="auto"/>
              <w:rPr>
                <w:rFonts w:cstheme="minorHAnsi"/>
              </w:rPr>
            </w:pPr>
            <w:r w:rsidRPr="009F0747">
              <w:rPr>
                <w:rFonts w:cstheme="minorHAnsi"/>
              </w:rPr>
              <w:t>Paintable</w:t>
            </w:r>
          </w:p>
          <w:p w14:paraId="4A5F89BA" w14:textId="77777777" w:rsidR="00D27972" w:rsidRPr="009F0747" w:rsidRDefault="00D27972" w:rsidP="00D27972">
            <w:pPr>
              <w:numPr>
                <w:ilvl w:val="0"/>
                <w:numId w:val="2"/>
              </w:numPr>
              <w:spacing w:before="100" w:beforeAutospacing="1" w:after="100" w:afterAutospacing="1" w:line="240" w:lineRule="auto"/>
              <w:rPr>
                <w:rFonts w:cstheme="minorHAnsi"/>
              </w:rPr>
            </w:pPr>
            <w:r w:rsidRPr="009F0747">
              <w:rPr>
                <w:rFonts w:cstheme="minorHAnsi"/>
              </w:rPr>
              <w:t>Available in Black &amp; Gray</w:t>
            </w:r>
          </w:p>
          <w:p w14:paraId="4E338A8C" w14:textId="77777777" w:rsidR="00D27972" w:rsidRPr="009F0747" w:rsidRDefault="00D27972" w:rsidP="00D27972">
            <w:pPr>
              <w:numPr>
                <w:ilvl w:val="0"/>
                <w:numId w:val="2"/>
              </w:numPr>
              <w:spacing w:before="100" w:beforeAutospacing="1" w:after="100" w:afterAutospacing="1" w:line="240" w:lineRule="auto"/>
              <w:rPr>
                <w:rFonts w:cstheme="minorHAnsi"/>
              </w:rPr>
            </w:pPr>
            <w:r w:rsidRPr="009F0747">
              <w:rPr>
                <w:rFonts w:cstheme="minorHAnsi"/>
              </w:rPr>
              <w:t>Excellent UV Resistance</w:t>
            </w:r>
          </w:p>
          <w:p w14:paraId="2A56FEDE" w14:textId="77777777" w:rsidR="00D27972" w:rsidRPr="009F0747" w:rsidRDefault="00D27972" w:rsidP="00D27972">
            <w:pPr>
              <w:numPr>
                <w:ilvl w:val="0"/>
                <w:numId w:val="2"/>
              </w:numPr>
              <w:spacing w:before="100" w:beforeAutospacing="1" w:after="100" w:afterAutospacing="1" w:line="240" w:lineRule="auto"/>
              <w:rPr>
                <w:rFonts w:cstheme="minorHAnsi"/>
              </w:rPr>
            </w:pPr>
            <w:r w:rsidRPr="009F0747">
              <w:rPr>
                <w:rFonts w:cstheme="minorHAnsi"/>
              </w:rPr>
              <w:t>Wide Adhesion Range</w:t>
            </w:r>
          </w:p>
          <w:p w14:paraId="667C549A" w14:textId="77777777" w:rsidR="00D27972" w:rsidRPr="009F0747" w:rsidRDefault="00D27972" w:rsidP="00D27972">
            <w:pPr>
              <w:numPr>
                <w:ilvl w:val="0"/>
                <w:numId w:val="2"/>
              </w:numPr>
              <w:spacing w:before="100" w:beforeAutospacing="1" w:after="100" w:afterAutospacing="1" w:line="240" w:lineRule="auto"/>
              <w:rPr>
                <w:rFonts w:cstheme="minorHAnsi"/>
              </w:rPr>
            </w:pPr>
            <w:r w:rsidRPr="009F0747">
              <w:rPr>
                <w:rFonts w:cstheme="minorHAnsi"/>
              </w:rPr>
              <w:t>Long-Term Durability</w:t>
            </w:r>
          </w:p>
          <w:p w14:paraId="4AC67C80" w14:textId="77777777" w:rsidR="00D27972" w:rsidRPr="009F0747" w:rsidRDefault="00D27972" w:rsidP="00D27972">
            <w:pPr>
              <w:numPr>
                <w:ilvl w:val="0"/>
                <w:numId w:val="2"/>
              </w:numPr>
              <w:spacing w:before="100" w:beforeAutospacing="1" w:after="100" w:afterAutospacing="1" w:line="240" w:lineRule="auto"/>
              <w:rPr>
                <w:rFonts w:cstheme="minorHAnsi"/>
              </w:rPr>
            </w:pPr>
            <w:r w:rsidRPr="009F0747">
              <w:rPr>
                <w:rFonts w:cstheme="minorHAnsi"/>
              </w:rPr>
              <w:t>Made in USA</w:t>
            </w:r>
          </w:p>
        </w:tc>
      </w:tr>
    </w:tbl>
    <w:p w14:paraId="23632795" w14:textId="0F3E8D72" w:rsidR="00D27972" w:rsidRPr="009F0747" w:rsidRDefault="00D27972" w:rsidP="00D27972">
      <w:pPr>
        <w:pStyle w:val="has-text-align-left"/>
        <w:rPr>
          <w:rFonts w:asciiTheme="minorHAnsi" w:hAnsiTheme="minorHAnsi" w:cstheme="minorHAnsi"/>
        </w:rPr>
      </w:pPr>
      <w:r w:rsidRPr="009F0747">
        <w:rPr>
          <w:rStyle w:val="Strong"/>
          <w:rFonts w:asciiTheme="minorHAnsi" w:hAnsiTheme="minorHAnsi" w:cstheme="minorHAnsi"/>
        </w:rPr>
        <w:t>Curing:</w:t>
      </w:r>
      <w:r w:rsidRPr="009F0747">
        <w:rPr>
          <w:rFonts w:asciiTheme="minorHAnsi" w:hAnsiTheme="minorHAnsi" w:cstheme="minorHAnsi"/>
        </w:rPr>
        <w:t xml:space="preserve"> BD-LS will skin over in approximately 45 minutes at 70°F (21°C) and 50% relative humidity. Temperatures below 32°F (0°C) and/or low humidity will slow </w:t>
      </w:r>
      <w:r w:rsidR="003107F2">
        <w:rPr>
          <w:rFonts w:asciiTheme="minorHAnsi" w:hAnsiTheme="minorHAnsi" w:cstheme="minorHAnsi"/>
        </w:rPr>
        <w:t xml:space="preserve">the </w:t>
      </w:r>
      <w:r w:rsidRPr="009F0747">
        <w:rPr>
          <w:rFonts w:asciiTheme="minorHAnsi" w:hAnsiTheme="minorHAnsi" w:cstheme="minorHAnsi"/>
        </w:rPr>
        <w:t>skin/cure time. Strength will start to develop immediately and continue increasing for 7 days after application. However, if groove is slightly underfilled traffic is permitted immediately after application.</w:t>
      </w:r>
      <w:r w:rsidRPr="009F0747">
        <w:rPr>
          <w:rFonts w:asciiTheme="minorHAnsi" w:hAnsiTheme="minorHAnsi" w:cstheme="minorHAnsi"/>
        </w:rPr>
        <w:br/>
      </w:r>
      <w:r w:rsidRPr="009F0747">
        <w:rPr>
          <w:rFonts w:asciiTheme="minorHAnsi" w:hAnsiTheme="minorHAnsi" w:cstheme="minorHAnsi"/>
        </w:rPr>
        <w:br/>
      </w:r>
      <w:r w:rsidRPr="009F0747">
        <w:rPr>
          <w:rStyle w:val="Strong"/>
          <w:rFonts w:asciiTheme="minorHAnsi" w:hAnsiTheme="minorHAnsi" w:cstheme="minorHAnsi"/>
        </w:rPr>
        <w:t>Spills/Clean Up:</w:t>
      </w:r>
      <w:r w:rsidRPr="009F0747">
        <w:rPr>
          <w:rFonts w:asciiTheme="minorHAnsi" w:hAnsiTheme="minorHAnsi" w:cstheme="minorHAnsi"/>
        </w:rPr>
        <w:t xml:space="preserve"> Wet BD-LS can be cleaned with alcohol. Dry BD-LS can be removed by abrading or sc</w:t>
      </w:r>
      <w:r w:rsidR="003107F2">
        <w:rPr>
          <w:rFonts w:asciiTheme="minorHAnsi" w:hAnsiTheme="minorHAnsi" w:cstheme="minorHAnsi"/>
        </w:rPr>
        <w:t>r</w:t>
      </w:r>
      <w:r w:rsidRPr="009F0747">
        <w:rPr>
          <w:rFonts w:asciiTheme="minorHAnsi" w:hAnsiTheme="minorHAnsi" w:cstheme="minorHAnsi"/>
        </w:rPr>
        <w:t>aping</w:t>
      </w:r>
      <w:r w:rsidR="003107F2">
        <w:rPr>
          <w:rFonts w:asciiTheme="minorHAnsi" w:hAnsiTheme="minorHAnsi" w:cstheme="minorHAnsi"/>
        </w:rPr>
        <w:t>.</w:t>
      </w:r>
    </w:p>
    <w:p w14:paraId="4F22214E" w14:textId="1B7DBB08" w:rsidR="009C5D5E" w:rsidRDefault="00D27972" w:rsidP="00060DFE">
      <w:pPr>
        <w:pStyle w:val="has-text-align-center"/>
        <w:rPr>
          <w:rFonts w:asciiTheme="minorHAnsi" w:hAnsiTheme="minorHAnsi" w:cstheme="minorHAnsi"/>
          <w:i/>
          <w:iCs/>
        </w:rPr>
      </w:pPr>
      <w:r w:rsidRPr="009F0747">
        <w:rPr>
          <w:rStyle w:val="Strong"/>
          <w:rFonts w:asciiTheme="minorHAnsi" w:hAnsiTheme="minorHAnsi" w:cstheme="minorHAnsi"/>
        </w:rPr>
        <w:t>Coverage Per Tube/Case</w:t>
      </w:r>
      <w:r w:rsidR="00060DFE" w:rsidRPr="009F0747">
        <w:rPr>
          <w:rStyle w:val="Strong"/>
          <w:rFonts w:asciiTheme="minorHAnsi" w:hAnsiTheme="minorHAnsi" w:cstheme="minorHAnsi"/>
        </w:rPr>
        <w:br/>
      </w:r>
      <w:r w:rsidR="009C5D5E" w:rsidRPr="009F0747">
        <w:rPr>
          <w:rFonts w:asciiTheme="minorHAnsi" w:hAnsiTheme="minorHAnsi" w:cstheme="minorHAnsi"/>
          <w:i/>
          <w:iCs/>
        </w:rPr>
        <w:t>See chart below.</w:t>
      </w:r>
    </w:p>
    <w:p w14:paraId="1A2B3674" w14:textId="77777777" w:rsidR="0064267B" w:rsidRPr="009F0747" w:rsidRDefault="0064267B" w:rsidP="00060DFE">
      <w:pPr>
        <w:pStyle w:val="has-text-align-center"/>
        <w:rPr>
          <w:rFonts w:asciiTheme="minorHAnsi" w:hAnsiTheme="minorHAnsi" w:cstheme="minorHAnsi"/>
          <w:i/>
          <w:iCs/>
        </w:rPr>
      </w:pPr>
    </w:p>
    <w:tbl>
      <w:tblPr>
        <w:tblStyle w:val="TableGrid"/>
        <w:tblW w:w="0" w:type="auto"/>
        <w:tblLook w:val="04A0" w:firstRow="1" w:lastRow="0" w:firstColumn="1" w:lastColumn="0" w:noHBand="0" w:noVBand="1"/>
      </w:tblPr>
      <w:tblGrid>
        <w:gridCol w:w="1547"/>
        <w:gridCol w:w="1564"/>
        <w:gridCol w:w="1564"/>
        <w:gridCol w:w="1547"/>
        <w:gridCol w:w="1564"/>
        <w:gridCol w:w="1564"/>
      </w:tblGrid>
      <w:tr w:rsidR="009C5D5E" w14:paraId="28CF7C0D" w14:textId="77777777" w:rsidTr="009C5D5E">
        <w:tc>
          <w:tcPr>
            <w:tcW w:w="4788" w:type="dxa"/>
            <w:gridSpan w:val="3"/>
            <w:shd w:val="clear" w:color="auto" w:fill="B8CCE4" w:themeFill="accent1" w:themeFillTint="66"/>
          </w:tcPr>
          <w:p w14:paraId="6B648B72" w14:textId="77777777" w:rsidR="009C5D5E" w:rsidRPr="009C5D5E" w:rsidRDefault="009C5D5E" w:rsidP="009C5D5E">
            <w:pPr>
              <w:spacing w:before="100" w:beforeAutospacing="1" w:after="100" w:afterAutospacing="1"/>
              <w:jc w:val="center"/>
              <w:rPr>
                <w:rFonts w:eastAsia="Times New Roman" w:cstheme="minorHAnsi"/>
                <w:b/>
                <w:sz w:val="24"/>
                <w:szCs w:val="24"/>
              </w:rPr>
            </w:pPr>
            <w:r w:rsidRPr="009C5D5E">
              <w:rPr>
                <w:rFonts w:eastAsia="Times New Roman" w:cstheme="minorHAnsi"/>
                <w:b/>
                <w:sz w:val="24"/>
                <w:szCs w:val="24"/>
              </w:rPr>
              <w:lastRenderedPageBreak/>
              <w:t>3/16” Wide Blade</w:t>
            </w:r>
          </w:p>
        </w:tc>
        <w:tc>
          <w:tcPr>
            <w:tcW w:w="4788" w:type="dxa"/>
            <w:gridSpan w:val="3"/>
            <w:shd w:val="clear" w:color="auto" w:fill="E5B8B7" w:themeFill="accent2" w:themeFillTint="66"/>
          </w:tcPr>
          <w:p w14:paraId="0B4673A7" w14:textId="77777777" w:rsidR="009C5D5E" w:rsidRPr="009C5D5E" w:rsidRDefault="009C5D5E" w:rsidP="009C5D5E">
            <w:pPr>
              <w:spacing w:before="100" w:beforeAutospacing="1" w:after="100" w:afterAutospacing="1"/>
              <w:jc w:val="center"/>
              <w:rPr>
                <w:rFonts w:eastAsia="Times New Roman" w:cstheme="minorHAnsi"/>
                <w:b/>
                <w:sz w:val="24"/>
                <w:szCs w:val="24"/>
              </w:rPr>
            </w:pPr>
            <w:r w:rsidRPr="009C5D5E">
              <w:rPr>
                <w:rFonts w:eastAsia="Times New Roman" w:cstheme="minorHAnsi"/>
                <w:b/>
                <w:sz w:val="24"/>
                <w:szCs w:val="24"/>
              </w:rPr>
              <w:t>¼” Wide Blade</w:t>
            </w:r>
          </w:p>
        </w:tc>
      </w:tr>
      <w:tr w:rsidR="009C5D5E" w14:paraId="4B2641BF" w14:textId="77777777" w:rsidTr="009C5D5E">
        <w:tc>
          <w:tcPr>
            <w:tcW w:w="1596" w:type="dxa"/>
            <w:shd w:val="clear" w:color="auto" w:fill="B8CCE4" w:themeFill="accent1" w:themeFillTint="66"/>
          </w:tcPr>
          <w:p w14:paraId="3AD6C2E8" w14:textId="77777777" w:rsidR="009C5D5E" w:rsidRPr="009C5D5E" w:rsidRDefault="009C5D5E" w:rsidP="009C5D5E">
            <w:pPr>
              <w:spacing w:before="100" w:beforeAutospacing="1" w:after="100" w:afterAutospacing="1"/>
              <w:jc w:val="center"/>
              <w:rPr>
                <w:rFonts w:eastAsia="Times New Roman" w:cstheme="minorHAnsi"/>
                <w:b/>
              </w:rPr>
            </w:pPr>
            <w:r w:rsidRPr="009C5D5E">
              <w:rPr>
                <w:rFonts w:eastAsia="Times New Roman" w:cstheme="minorHAnsi"/>
                <w:b/>
              </w:rPr>
              <w:t>Depth</w:t>
            </w:r>
          </w:p>
        </w:tc>
        <w:tc>
          <w:tcPr>
            <w:tcW w:w="1596" w:type="dxa"/>
            <w:shd w:val="clear" w:color="auto" w:fill="B8CCE4" w:themeFill="accent1" w:themeFillTint="66"/>
          </w:tcPr>
          <w:p w14:paraId="5C00235C" w14:textId="47388A74" w:rsidR="009C5D5E" w:rsidRPr="009C5D5E" w:rsidRDefault="009C5D5E" w:rsidP="009C5D5E">
            <w:pPr>
              <w:spacing w:before="100" w:beforeAutospacing="1" w:after="100" w:afterAutospacing="1"/>
              <w:jc w:val="center"/>
              <w:rPr>
                <w:rFonts w:eastAsia="Times New Roman" w:cstheme="minorHAnsi"/>
                <w:b/>
              </w:rPr>
            </w:pPr>
            <w:r w:rsidRPr="009C5D5E">
              <w:rPr>
                <w:rFonts w:eastAsia="Times New Roman" w:cstheme="minorHAnsi"/>
                <w:b/>
              </w:rPr>
              <w:t>Coverage per Cartridge</w:t>
            </w:r>
          </w:p>
        </w:tc>
        <w:tc>
          <w:tcPr>
            <w:tcW w:w="1596" w:type="dxa"/>
            <w:shd w:val="clear" w:color="auto" w:fill="B8CCE4" w:themeFill="accent1" w:themeFillTint="66"/>
          </w:tcPr>
          <w:p w14:paraId="0C595B8A" w14:textId="77777777" w:rsidR="009C5D5E" w:rsidRPr="009C5D5E" w:rsidRDefault="009C5D5E" w:rsidP="009C5D5E">
            <w:pPr>
              <w:spacing w:before="100" w:beforeAutospacing="1" w:after="100" w:afterAutospacing="1"/>
              <w:jc w:val="center"/>
              <w:rPr>
                <w:rFonts w:eastAsia="Times New Roman" w:cstheme="minorHAnsi"/>
                <w:b/>
              </w:rPr>
            </w:pPr>
            <w:r w:rsidRPr="009C5D5E">
              <w:rPr>
                <w:rFonts w:eastAsia="Times New Roman" w:cstheme="minorHAnsi"/>
                <w:b/>
              </w:rPr>
              <w:t>Coverage per Case</w:t>
            </w:r>
          </w:p>
        </w:tc>
        <w:tc>
          <w:tcPr>
            <w:tcW w:w="1596" w:type="dxa"/>
            <w:shd w:val="clear" w:color="auto" w:fill="E5B8B7" w:themeFill="accent2" w:themeFillTint="66"/>
          </w:tcPr>
          <w:p w14:paraId="5B196BD0" w14:textId="77777777" w:rsidR="009C5D5E" w:rsidRPr="009C5D5E" w:rsidRDefault="009C5D5E" w:rsidP="009C5D5E">
            <w:pPr>
              <w:spacing w:before="100" w:beforeAutospacing="1" w:after="100" w:afterAutospacing="1"/>
              <w:jc w:val="center"/>
              <w:rPr>
                <w:rFonts w:eastAsia="Times New Roman" w:cstheme="minorHAnsi"/>
                <w:b/>
              </w:rPr>
            </w:pPr>
            <w:r w:rsidRPr="009C5D5E">
              <w:rPr>
                <w:rFonts w:eastAsia="Times New Roman" w:cstheme="minorHAnsi"/>
                <w:b/>
              </w:rPr>
              <w:t>Depth</w:t>
            </w:r>
          </w:p>
        </w:tc>
        <w:tc>
          <w:tcPr>
            <w:tcW w:w="1596" w:type="dxa"/>
            <w:shd w:val="clear" w:color="auto" w:fill="E5B8B7" w:themeFill="accent2" w:themeFillTint="66"/>
          </w:tcPr>
          <w:p w14:paraId="7949EA9E" w14:textId="1227ACFF" w:rsidR="009C5D5E" w:rsidRPr="009C5D5E" w:rsidRDefault="009C5D5E" w:rsidP="009C5D5E">
            <w:pPr>
              <w:spacing w:before="100" w:beforeAutospacing="1" w:after="100" w:afterAutospacing="1"/>
              <w:jc w:val="center"/>
              <w:rPr>
                <w:rFonts w:eastAsia="Times New Roman" w:cstheme="minorHAnsi"/>
                <w:b/>
              </w:rPr>
            </w:pPr>
            <w:r w:rsidRPr="009C5D5E">
              <w:rPr>
                <w:rFonts w:eastAsia="Times New Roman" w:cstheme="minorHAnsi"/>
                <w:b/>
              </w:rPr>
              <w:t>Coverage per Cartridge</w:t>
            </w:r>
          </w:p>
        </w:tc>
        <w:tc>
          <w:tcPr>
            <w:tcW w:w="1596" w:type="dxa"/>
            <w:shd w:val="clear" w:color="auto" w:fill="E5B8B7" w:themeFill="accent2" w:themeFillTint="66"/>
          </w:tcPr>
          <w:p w14:paraId="23BAAA5C" w14:textId="77777777" w:rsidR="009C5D5E" w:rsidRPr="009C5D5E" w:rsidRDefault="009C5D5E" w:rsidP="009C5D5E">
            <w:pPr>
              <w:spacing w:before="100" w:beforeAutospacing="1" w:after="100" w:afterAutospacing="1"/>
              <w:jc w:val="center"/>
              <w:rPr>
                <w:rFonts w:eastAsia="Times New Roman" w:cstheme="minorHAnsi"/>
                <w:b/>
              </w:rPr>
            </w:pPr>
            <w:r w:rsidRPr="009C5D5E">
              <w:rPr>
                <w:rFonts w:eastAsia="Times New Roman" w:cstheme="minorHAnsi"/>
                <w:b/>
              </w:rPr>
              <w:t>Coverage per Case</w:t>
            </w:r>
          </w:p>
        </w:tc>
      </w:tr>
      <w:tr w:rsidR="009C5D5E" w14:paraId="3ECFFB6D" w14:textId="77777777" w:rsidTr="009C5D5E">
        <w:tc>
          <w:tcPr>
            <w:tcW w:w="1596" w:type="dxa"/>
            <w:shd w:val="clear" w:color="auto" w:fill="DBE5F1" w:themeFill="accent1" w:themeFillTint="33"/>
          </w:tcPr>
          <w:p w14:paraId="15B50A51" w14:textId="77777777" w:rsidR="009C5D5E" w:rsidRDefault="009C5D5E" w:rsidP="009C5D5E">
            <w:pPr>
              <w:spacing w:before="100" w:beforeAutospacing="1" w:after="100" w:afterAutospacing="1"/>
              <w:jc w:val="center"/>
              <w:rPr>
                <w:rFonts w:eastAsia="Times New Roman" w:cstheme="minorHAnsi"/>
              </w:rPr>
            </w:pPr>
            <w:r>
              <w:rPr>
                <w:rFonts w:eastAsia="Times New Roman" w:cstheme="minorHAnsi"/>
              </w:rPr>
              <w:t>1 ¼”</w:t>
            </w:r>
          </w:p>
        </w:tc>
        <w:tc>
          <w:tcPr>
            <w:tcW w:w="1596" w:type="dxa"/>
            <w:shd w:val="clear" w:color="auto" w:fill="DBE5F1" w:themeFill="accent1" w:themeFillTint="33"/>
          </w:tcPr>
          <w:p w14:paraId="5D59754E" w14:textId="29CC3D55" w:rsidR="009C5D5E" w:rsidRDefault="00C06A58" w:rsidP="009C5D5E">
            <w:pPr>
              <w:spacing w:before="100" w:beforeAutospacing="1" w:after="100" w:afterAutospacing="1"/>
              <w:jc w:val="center"/>
              <w:rPr>
                <w:rFonts w:eastAsia="Times New Roman" w:cstheme="minorHAnsi"/>
              </w:rPr>
            </w:pPr>
            <w:r>
              <w:rPr>
                <w:rFonts w:eastAsia="Times New Roman" w:cstheme="minorHAnsi"/>
              </w:rPr>
              <w:t>20</w:t>
            </w:r>
            <w:r w:rsidR="009C5D5E">
              <w:rPr>
                <w:rFonts w:eastAsia="Times New Roman" w:cstheme="minorHAnsi"/>
              </w:rPr>
              <w:t>ft</w:t>
            </w:r>
          </w:p>
        </w:tc>
        <w:tc>
          <w:tcPr>
            <w:tcW w:w="1596" w:type="dxa"/>
            <w:shd w:val="clear" w:color="auto" w:fill="DBE5F1" w:themeFill="accent1" w:themeFillTint="33"/>
          </w:tcPr>
          <w:p w14:paraId="4BF60DCC" w14:textId="4216A0F9" w:rsidR="009C5D5E" w:rsidRDefault="00C06A58" w:rsidP="009C5D5E">
            <w:pPr>
              <w:spacing w:before="100" w:beforeAutospacing="1" w:after="100" w:afterAutospacing="1"/>
              <w:jc w:val="center"/>
              <w:rPr>
                <w:rFonts w:eastAsia="Times New Roman" w:cstheme="minorHAnsi"/>
              </w:rPr>
            </w:pPr>
            <w:r>
              <w:rPr>
                <w:rFonts w:eastAsia="Times New Roman" w:cstheme="minorHAnsi"/>
              </w:rPr>
              <w:t>240</w:t>
            </w:r>
            <w:r w:rsidR="009C5D5E">
              <w:rPr>
                <w:rFonts w:eastAsia="Times New Roman" w:cstheme="minorHAnsi"/>
              </w:rPr>
              <w:t>ft</w:t>
            </w:r>
          </w:p>
        </w:tc>
        <w:tc>
          <w:tcPr>
            <w:tcW w:w="1596" w:type="dxa"/>
            <w:shd w:val="clear" w:color="auto" w:fill="F2DBDB" w:themeFill="accent2" w:themeFillTint="33"/>
          </w:tcPr>
          <w:p w14:paraId="397C2A7E" w14:textId="77777777" w:rsidR="009C5D5E" w:rsidRDefault="009C5D5E" w:rsidP="009C5D5E">
            <w:pPr>
              <w:spacing w:before="100" w:beforeAutospacing="1" w:after="100" w:afterAutospacing="1"/>
              <w:jc w:val="center"/>
              <w:rPr>
                <w:rFonts w:eastAsia="Times New Roman" w:cstheme="minorHAnsi"/>
              </w:rPr>
            </w:pPr>
            <w:r>
              <w:rPr>
                <w:rFonts w:eastAsia="Times New Roman" w:cstheme="minorHAnsi"/>
              </w:rPr>
              <w:t>1 ¼”</w:t>
            </w:r>
          </w:p>
        </w:tc>
        <w:tc>
          <w:tcPr>
            <w:tcW w:w="1596" w:type="dxa"/>
            <w:shd w:val="clear" w:color="auto" w:fill="F2DBDB" w:themeFill="accent2" w:themeFillTint="33"/>
          </w:tcPr>
          <w:p w14:paraId="6B770660" w14:textId="6EB4997A" w:rsidR="009C5D5E" w:rsidRDefault="007149C2" w:rsidP="009C5D5E">
            <w:pPr>
              <w:spacing w:before="100" w:beforeAutospacing="1" w:after="100" w:afterAutospacing="1"/>
              <w:jc w:val="center"/>
              <w:rPr>
                <w:rFonts w:eastAsia="Times New Roman" w:cstheme="minorHAnsi"/>
              </w:rPr>
            </w:pPr>
            <w:r>
              <w:rPr>
                <w:rFonts w:eastAsia="Times New Roman" w:cstheme="minorHAnsi"/>
              </w:rPr>
              <w:t>15</w:t>
            </w:r>
            <w:r w:rsidR="009C5D5E">
              <w:rPr>
                <w:rFonts w:eastAsia="Times New Roman" w:cstheme="minorHAnsi"/>
              </w:rPr>
              <w:t>ft</w:t>
            </w:r>
          </w:p>
        </w:tc>
        <w:tc>
          <w:tcPr>
            <w:tcW w:w="1596" w:type="dxa"/>
            <w:shd w:val="clear" w:color="auto" w:fill="F2DBDB" w:themeFill="accent2" w:themeFillTint="33"/>
          </w:tcPr>
          <w:p w14:paraId="503C9293" w14:textId="70C55ED6" w:rsidR="009C5D5E" w:rsidRDefault="009C5D5E" w:rsidP="009C5D5E">
            <w:pPr>
              <w:spacing w:before="100" w:beforeAutospacing="1" w:after="100" w:afterAutospacing="1"/>
              <w:jc w:val="center"/>
              <w:rPr>
                <w:rFonts w:eastAsia="Times New Roman" w:cstheme="minorHAnsi"/>
              </w:rPr>
            </w:pPr>
            <w:r>
              <w:rPr>
                <w:rFonts w:eastAsia="Times New Roman" w:cstheme="minorHAnsi"/>
              </w:rPr>
              <w:t>1</w:t>
            </w:r>
            <w:r w:rsidR="007149C2">
              <w:rPr>
                <w:rFonts w:eastAsia="Times New Roman" w:cstheme="minorHAnsi"/>
              </w:rPr>
              <w:t>80</w:t>
            </w:r>
            <w:r>
              <w:rPr>
                <w:rFonts w:eastAsia="Times New Roman" w:cstheme="minorHAnsi"/>
              </w:rPr>
              <w:t>ft</w:t>
            </w:r>
          </w:p>
        </w:tc>
      </w:tr>
      <w:tr w:rsidR="009C5D5E" w14:paraId="0CD642B4" w14:textId="77777777" w:rsidTr="009C5D5E">
        <w:tc>
          <w:tcPr>
            <w:tcW w:w="1596" w:type="dxa"/>
            <w:shd w:val="clear" w:color="auto" w:fill="DBE5F1" w:themeFill="accent1" w:themeFillTint="33"/>
          </w:tcPr>
          <w:p w14:paraId="4BED5F43" w14:textId="77777777" w:rsidR="009C5D5E" w:rsidRDefault="009C5D5E" w:rsidP="009C5D5E">
            <w:pPr>
              <w:spacing w:before="100" w:beforeAutospacing="1" w:after="100" w:afterAutospacing="1"/>
              <w:jc w:val="center"/>
              <w:rPr>
                <w:rFonts w:eastAsia="Times New Roman" w:cstheme="minorHAnsi"/>
              </w:rPr>
            </w:pPr>
            <w:r>
              <w:rPr>
                <w:rFonts w:eastAsia="Times New Roman" w:cstheme="minorHAnsi"/>
              </w:rPr>
              <w:t>1 ½”</w:t>
            </w:r>
          </w:p>
        </w:tc>
        <w:tc>
          <w:tcPr>
            <w:tcW w:w="1596" w:type="dxa"/>
            <w:shd w:val="clear" w:color="auto" w:fill="DBE5F1" w:themeFill="accent1" w:themeFillTint="33"/>
          </w:tcPr>
          <w:p w14:paraId="6C6C5EEF" w14:textId="5D6A6406" w:rsidR="009C5D5E" w:rsidRDefault="009C5D5E" w:rsidP="009C5D5E">
            <w:pPr>
              <w:spacing w:before="100" w:beforeAutospacing="1" w:after="100" w:afterAutospacing="1"/>
              <w:jc w:val="center"/>
              <w:rPr>
                <w:rFonts w:eastAsia="Times New Roman" w:cstheme="minorHAnsi"/>
              </w:rPr>
            </w:pPr>
            <w:r>
              <w:rPr>
                <w:rFonts w:eastAsia="Times New Roman" w:cstheme="minorHAnsi"/>
              </w:rPr>
              <w:t>1</w:t>
            </w:r>
            <w:r w:rsidR="00C06A58">
              <w:rPr>
                <w:rFonts w:eastAsia="Times New Roman" w:cstheme="minorHAnsi"/>
              </w:rPr>
              <w:t>6</w:t>
            </w:r>
            <w:r>
              <w:rPr>
                <w:rFonts w:eastAsia="Times New Roman" w:cstheme="minorHAnsi"/>
              </w:rPr>
              <w:t>ft</w:t>
            </w:r>
          </w:p>
        </w:tc>
        <w:tc>
          <w:tcPr>
            <w:tcW w:w="1596" w:type="dxa"/>
            <w:shd w:val="clear" w:color="auto" w:fill="DBE5F1" w:themeFill="accent1" w:themeFillTint="33"/>
          </w:tcPr>
          <w:p w14:paraId="1482EF9D" w14:textId="272150F7" w:rsidR="009C5D5E" w:rsidRDefault="00C06A58" w:rsidP="009C5D5E">
            <w:pPr>
              <w:spacing w:before="100" w:beforeAutospacing="1" w:after="100" w:afterAutospacing="1"/>
              <w:jc w:val="center"/>
              <w:rPr>
                <w:rFonts w:eastAsia="Times New Roman" w:cstheme="minorHAnsi"/>
              </w:rPr>
            </w:pPr>
            <w:r>
              <w:rPr>
                <w:rFonts w:eastAsia="Times New Roman" w:cstheme="minorHAnsi"/>
              </w:rPr>
              <w:t>192</w:t>
            </w:r>
            <w:r w:rsidR="009C5D5E">
              <w:rPr>
                <w:rFonts w:eastAsia="Times New Roman" w:cstheme="minorHAnsi"/>
              </w:rPr>
              <w:t>ft</w:t>
            </w:r>
          </w:p>
        </w:tc>
        <w:tc>
          <w:tcPr>
            <w:tcW w:w="1596" w:type="dxa"/>
            <w:shd w:val="clear" w:color="auto" w:fill="F2DBDB" w:themeFill="accent2" w:themeFillTint="33"/>
          </w:tcPr>
          <w:p w14:paraId="7E2F0604" w14:textId="77777777" w:rsidR="009C5D5E" w:rsidRDefault="009C5D5E" w:rsidP="009C5D5E">
            <w:pPr>
              <w:spacing w:before="100" w:beforeAutospacing="1" w:after="100" w:afterAutospacing="1"/>
              <w:jc w:val="center"/>
              <w:rPr>
                <w:rFonts w:eastAsia="Times New Roman" w:cstheme="minorHAnsi"/>
              </w:rPr>
            </w:pPr>
            <w:r>
              <w:rPr>
                <w:rFonts w:eastAsia="Times New Roman" w:cstheme="minorHAnsi"/>
              </w:rPr>
              <w:t>1 ½”</w:t>
            </w:r>
          </w:p>
        </w:tc>
        <w:tc>
          <w:tcPr>
            <w:tcW w:w="1596" w:type="dxa"/>
            <w:shd w:val="clear" w:color="auto" w:fill="F2DBDB" w:themeFill="accent2" w:themeFillTint="33"/>
          </w:tcPr>
          <w:p w14:paraId="6D06B931" w14:textId="73282D9B" w:rsidR="009C5D5E" w:rsidRDefault="007149C2" w:rsidP="009C5D5E">
            <w:pPr>
              <w:spacing w:before="100" w:beforeAutospacing="1" w:after="100" w:afterAutospacing="1"/>
              <w:jc w:val="center"/>
              <w:rPr>
                <w:rFonts w:eastAsia="Times New Roman" w:cstheme="minorHAnsi"/>
              </w:rPr>
            </w:pPr>
            <w:r>
              <w:rPr>
                <w:rFonts w:eastAsia="Times New Roman" w:cstheme="minorHAnsi"/>
              </w:rPr>
              <w:t>12</w:t>
            </w:r>
            <w:r w:rsidR="009C5D5E">
              <w:rPr>
                <w:rFonts w:eastAsia="Times New Roman" w:cstheme="minorHAnsi"/>
              </w:rPr>
              <w:t>ft</w:t>
            </w:r>
          </w:p>
        </w:tc>
        <w:tc>
          <w:tcPr>
            <w:tcW w:w="1596" w:type="dxa"/>
            <w:shd w:val="clear" w:color="auto" w:fill="F2DBDB" w:themeFill="accent2" w:themeFillTint="33"/>
          </w:tcPr>
          <w:p w14:paraId="35FB82D0" w14:textId="326B9410" w:rsidR="009C5D5E" w:rsidRDefault="009C5D5E" w:rsidP="009C5D5E">
            <w:pPr>
              <w:spacing w:before="100" w:beforeAutospacing="1" w:after="100" w:afterAutospacing="1"/>
              <w:jc w:val="center"/>
              <w:rPr>
                <w:rFonts w:eastAsia="Times New Roman" w:cstheme="minorHAnsi"/>
              </w:rPr>
            </w:pPr>
            <w:r>
              <w:rPr>
                <w:rFonts w:eastAsia="Times New Roman" w:cstheme="minorHAnsi"/>
              </w:rPr>
              <w:t>1</w:t>
            </w:r>
            <w:r w:rsidR="007149C2">
              <w:rPr>
                <w:rFonts w:eastAsia="Times New Roman" w:cstheme="minorHAnsi"/>
              </w:rPr>
              <w:t>44</w:t>
            </w:r>
            <w:r>
              <w:rPr>
                <w:rFonts w:eastAsia="Times New Roman" w:cstheme="minorHAnsi"/>
              </w:rPr>
              <w:t>ft</w:t>
            </w:r>
          </w:p>
        </w:tc>
      </w:tr>
    </w:tbl>
    <w:p w14:paraId="1EE7B989" w14:textId="0D0693D9" w:rsidR="009C5D5E" w:rsidRPr="009C5D5E" w:rsidRDefault="009C5D5E" w:rsidP="009C5D5E">
      <w:pPr>
        <w:spacing w:before="100" w:beforeAutospacing="1" w:after="100" w:afterAutospacing="1" w:line="240" w:lineRule="auto"/>
        <w:rPr>
          <w:rFonts w:eastAsia="Times New Roman" w:cstheme="minorHAnsi"/>
        </w:rPr>
      </w:pPr>
      <w:r w:rsidRPr="009C5D5E">
        <w:rPr>
          <w:rFonts w:eastAsia="Times New Roman" w:cstheme="minorHAnsi"/>
        </w:rPr>
        <w:t>It</w:t>
      </w:r>
      <w:r w:rsidR="000158A9">
        <w:rPr>
          <w:rFonts w:eastAsia="Times New Roman" w:cstheme="minorHAnsi"/>
        </w:rPr>
        <w:t xml:space="preserve">’s </w:t>
      </w:r>
      <w:r w:rsidRPr="009C5D5E">
        <w:rPr>
          <w:rFonts w:eastAsia="Times New Roman" w:cstheme="minorHAnsi"/>
        </w:rPr>
        <w:t xml:space="preserve">better to purchase 1 extra </w:t>
      </w:r>
      <w:r w:rsidR="00D27972">
        <w:rPr>
          <w:rFonts w:eastAsia="Times New Roman" w:cstheme="minorHAnsi"/>
        </w:rPr>
        <w:t>tube</w:t>
      </w:r>
      <w:r w:rsidRPr="009C5D5E">
        <w:rPr>
          <w:rFonts w:eastAsia="Times New Roman" w:cstheme="minorHAnsi"/>
        </w:rPr>
        <w:t xml:space="preserve"> of </w:t>
      </w:r>
      <w:r w:rsidRPr="000158A9">
        <w:rPr>
          <w:rFonts w:eastAsia="Times New Roman" w:cstheme="minorHAnsi"/>
          <w:b/>
          <w:bCs/>
        </w:rPr>
        <w:t>BD-L</w:t>
      </w:r>
      <w:r w:rsidR="00D27972">
        <w:rPr>
          <w:rFonts w:eastAsia="Times New Roman" w:cstheme="minorHAnsi"/>
          <w:b/>
          <w:bCs/>
        </w:rPr>
        <w:t>S</w:t>
      </w:r>
      <w:r w:rsidRPr="009C5D5E">
        <w:rPr>
          <w:rFonts w:eastAsia="Times New Roman" w:cstheme="minorHAnsi"/>
        </w:rPr>
        <w:t xml:space="preserve"> than to run out of </w:t>
      </w:r>
      <w:r w:rsidR="000158A9">
        <w:rPr>
          <w:rFonts w:eastAsia="Times New Roman" w:cstheme="minorHAnsi"/>
        </w:rPr>
        <w:t>loop sealant</w:t>
      </w:r>
      <w:r w:rsidRPr="009C5D5E">
        <w:rPr>
          <w:rFonts w:eastAsia="Times New Roman" w:cstheme="minorHAnsi"/>
        </w:rPr>
        <w:t xml:space="preserve"> on a jobsite</w:t>
      </w:r>
      <w:r w:rsidR="00A873AD">
        <w:rPr>
          <w:rFonts w:eastAsia="Times New Roman" w:cstheme="minorHAnsi"/>
        </w:rPr>
        <w:t>.</w:t>
      </w:r>
      <w:r w:rsidR="0064267B">
        <w:rPr>
          <w:rFonts w:eastAsia="Times New Roman" w:cstheme="minorHAnsi"/>
        </w:rPr>
        <w:br/>
      </w:r>
      <w:r w:rsidRPr="009C5D5E">
        <w:rPr>
          <w:rFonts w:eastAsia="Times New Roman" w:cstheme="minorHAnsi"/>
        </w:rPr>
        <w:t>Using a 3/16" wide blade over 1/4" blade will save you 25% in loop sealant.</w:t>
      </w:r>
    </w:p>
    <w:p w14:paraId="547F1FA2" w14:textId="77777777" w:rsidR="007E5D14" w:rsidRPr="00AE4FBA" w:rsidRDefault="007E5D14" w:rsidP="007E5D14">
      <w:pPr>
        <w:pStyle w:val="Heading4"/>
        <w:rPr>
          <w:rFonts w:asciiTheme="minorHAnsi" w:hAnsiTheme="minorHAnsi" w:cstheme="minorHAnsi"/>
          <w:sz w:val="28"/>
          <w:szCs w:val="28"/>
        </w:rPr>
      </w:pPr>
      <w:r w:rsidRPr="00AE4FBA">
        <w:rPr>
          <w:rStyle w:val="Strong"/>
          <w:rFonts w:asciiTheme="minorHAnsi" w:hAnsiTheme="minorHAnsi" w:cstheme="minorHAnsi"/>
          <w:b/>
          <w:bCs/>
          <w:sz w:val="28"/>
          <w:szCs w:val="28"/>
        </w:rPr>
        <w:t>DIRECTIONS</w:t>
      </w:r>
    </w:p>
    <w:p w14:paraId="36B7EAE6" w14:textId="2EC02BED" w:rsidR="007E5D14" w:rsidRDefault="007E5D14" w:rsidP="007E5D14">
      <w:r>
        <w:t>BD Loop Shield is ready to use and requires no mixing or additives. Before sealant application remove dust, debris, and standing water. Suggested ambient temperature range for sealant application: 32°F – 120°F (0°C -48°C).</w:t>
      </w:r>
      <w:r>
        <w:br/>
      </w:r>
      <w:r>
        <w:br/>
      </w:r>
      <w:r>
        <w:rPr>
          <w:rStyle w:val="Strong"/>
        </w:rPr>
        <w:t>Application:</w:t>
      </w:r>
      <w:r>
        <w:t xml:space="preserve"> Carefully cut the tip off the cartridge just above the nozzle threads. Thread sealant tip onto cartridge and place into quart sized caulking gun. Sealant should be applied from the bottom of the saw-cut groove. Slightly underfill the groove to be within 1/8” (3.12 mm) of the surface to prevent vehicles from tracking sealant. For easier application, pneumatic and battery powered dispensing guns are available.</w:t>
      </w:r>
    </w:p>
    <w:p w14:paraId="4DD998BC" w14:textId="38849988" w:rsidR="007E5D14" w:rsidRDefault="007E5D14" w:rsidP="007E5D14">
      <w:r>
        <w:rPr>
          <w:rStyle w:val="Strong"/>
        </w:rPr>
        <w:t>Spills/Clean Up:</w:t>
      </w:r>
      <w:r>
        <w:t xml:space="preserve"> Wet BD-LS can be cleaned with alcohol. Dry BD-LS can be removed by abrading or scraping.</w:t>
      </w:r>
    </w:p>
    <w:p w14:paraId="3AC58706" w14:textId="7E20BE1F" w:rsidR="00E338DC" w:rsidRPr="009C5D5E" w:rsidRDefault="007E5D14" w:rsidP="007E5D14">
      <w:pPr>
        <w:rPr>
          <w:rFonts w:cstheme="minorHAnsi"/>
        </w:rPr>
      </w:pPr>
      <w:r>
        <w:rPr>
          <w:rStyle w:val="Strong"/>
        </w:rPr>
        <w:t>Storage:</w:t>
      </w:r>
      <w:r>
        <w:t xml:space="preserve"> For Maximum shelf life store in a dry, cool, and well-ventilated place. </w:t>
      </w:r>
      <w:r>
        <w:br/>
      </w:r>
    </w:p>
    <w:sectPr w:rsidR="00E338DC" w:rsidRPr="009C5D5E" w:rsidSect="00E338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96C0F"/>
    <w:multiLevelType w:val="multilevel"/>
    <w:tmpl w:val="B8D0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2E171E"/>
    <w:multiLevelType w:val="multilevel"/>
    <w:tmpl w:val="2186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4472357">
    <w:abstractNumId w:val="0"/>
  </w:num>
  <w:num w:numId="2" w16cid:durableId="1706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5E"/>
    <w:rsid w:val="000158A9"/>
    <w:rsid w:val="00060DFE"/>
    <w:rsid w:val="003107F2"/>
    <w:rsid w:val="00423C70"/>
    <w:rsid w:val="0064267B"/>
    <w:rsid w:val="007149C2"/>
    <w:rsid w:val="007E5D14"/>
    <w:rsid w:val="009C5D5E"/>
    <w:rsid w:val="009F0747"/>
    <w:rsid w:val="00A873AD"/>
    <w:rsid w:val="00AE4FBA"/>
    <w:rsid w:val="00C06A58"/>
    <w:rsid w:val="00D27972"/>
    <w:rsid w:val="00D30F0C"/>
    <w:rsid w:val="00DA2F77"/>
    <w:rsid w:val="00E338DC"/>
    <w:rsid w:val="00E751AF"/>
    <w:rsid w:val="00ED3757"/>
    <w:rsid w:val="00FB1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6F01A"/>
  <w15:docId w15:val="{0C073DF4-A1A2-42D9-9F9B-F6D6C5C2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D5E"/>
  </w:style>
  <w:style w:type="paragraph" w:styleId="Heading4">
    <w:name w:val="heading 4"/>
    <w:basedOn w:val="Normal"/>
    <w:link w:val="Heading4Char"/>
    <w:uiPriority w:val="9"/>
    <w:qFormat/>
    <w:rsid w:val="00D2797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rsid w:val="009C5D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5D5E"/>
    <w:rPr>
      <w:b/>
      <w:bCs/>
    </w:rPr>
  </w:style>
  <w:style w:type="character" w:customStyle="1" w:styleId="style32">
    <w:name w:val="style32"/>
    <w:basedOn w:val="DefaultParagraphFont"/>
    <w:rsid w:val="009C5D5E"/>
  </w:style>
  <w:style w:type="character" w:customStyle="1" w:styleId="style31">
    <w:name w:val="style31"/>
    <w:basedOn w:val="DefaultParagraphFont"/>
    <w:rsid w:val="009C5D5E"/>
  </w:style>
  <w:style w:type="character" w:customStyle="1" w:styleId="style39">
    <w:name w:val="style39"/>
    <w:basedOn w:val="DefaultParagraphFont"/>
    <w:rsid w:val="009C5D5E"/>
  </w:style>
  <w:style w:type="character" w:customStyle="1" w:styleId="style41">
    <w:name w:val="style41"/>
    <w:basedOn w:val="DefaultParagraphFont"/>
    <w:rsid w:val="009C5D5E"/>
  </w:style>
  <w:style w:type="character" w:customStyle="1" w:styleId="style42">
    <w:name w:val="style42"/>
    <w:basedOn w:val="DefaultParagraphFont"/>
    <w:rsid w:val="009C5D5E"/>
  </w:style>
  <w:style w:type="character" w:styleId="Emphasis">
    <w:name w:val="Emphasis"/>
    <w:basedOn w:val="DefaultParagraphFont"/>
    <w:uiPriority w:val="20"/>
    <w:qFormat/>
    <w:rsid w:val="009C5D5E"/>
    <w:rPr>
      <w:i/>
      <w:iCs/>
    </w:rPr>
  </w:style>
  <w:style w:type="paragraph" w:styleId="NormalWeb">
    <w:name w:val="Normal (Web)"/>
    <w:basedOn w:val="Normal"/>
    <w:uiPriority w:val="99"/>
    <w:semiHidden/>
    <w:unhideWhenUsed/>
    <w:rsid w:val="009C5D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44">
    <w:name w:val="style44"/>
    <w:basedOn w:val="DefaultParagraphFont"/>
    <w:rsid w:val="009C5D5E"/>
  </w:style>
  <w:style w:type="character" w:styleId="Hyperlink">
    <w:name w:val="Hyperlink"/>
    <w:basedOn w:val="DefaultParagraphFont"/>
    <w:uiPriority w:val="99"/>
    <w:semiHidden/>
    <w:unhideWhenUsed/>
    <w:rsid w:val="009C5D5E"/>
    <w:rPr>
      <w:color w:val="0000FF"/>
      <w:u w:val="single"/>
    </w:rPr>
  </w:style>
  <w:style w:type="character" w:customStyle="1" w:styleId="style47">
    <w:name w:val="style47"/>
    <w:basedOn w:val="DefaultParagraphFont"/>
    <w:rsid w:val="009C5D5E"/>
  </w:style>
  <w:style w:type="table" w:styleId="TableGrid">
    <w:name w:val="Table Grid"/>
    <w:basedOn w:val="TableNormal"/>
    <w:uiPriority w:val="59"/>
    <w:rsid w:val="009C5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27972"/>
    <w:rPr>
      <w:rFonts w:ascii="Times New Roman" w:eastAsia="Times New Roman" w:hAnsi="Times New Roman" w:cs="Times New Roman"/>
      <w:b/>
      <w:bCs/>
      <w:sz w:val="24"/>
      <w:szCs w:val="24"/>
    </w:rPr>
  </w:style>
  <w:style w:type="paragraph" w:customStyle="1" w:styleId="has-text-align-left">
    <w:name w:val="has-text-align-left"/>
    <w:basedOn w:val="Normal"/>
    <w:rsid w:val="00D279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center">
    <w:name w:val="has-text-align-center"/>
    <w:basedOn w:val="Normal"/>
    <w:rsid w:val="00D279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4308">
      <w:bodyDiv w:val="1"/>
      <w:marLeft w:val="0"/>
      <w:marRight w:val="0"/>
      <w:marTop w:val="0"/>
      <w:marBottom w:val="0"/>
      <w:divBdr>
        <w:top w:val="none" w:sz="0" w:space="0" w:color="auto"/>
        <w:left w:val="none" w:sz="0" w:space="0" w:color="auto"/>
        <w:bottom w:val="none" w:sz="0" w:space="0" w:color="auto"/>
        <w:right w:val="none" w:sz="0" w:space="0" w:color="auto"/>
      </w:divBdr>
    </w:div>
    <w:div w:id="1637104350">
      <w:bodyDiv w:val="1"/>
      <w:marLeft w:val="0"/>
      <w:marRight w:val="0"/>
      <w:marTop w:val="0"/>
      <w:marBottom w:val="0"/>
      <w:divBdr>
        <w:top w:val="none" w:sz="0" w:space="0" w:color="auto"/>
        <w:left w:val="none" w:sz="0" w:space="0" w:color="auto"/>
        <w:bottom w:val="none" w:sz="0" w:space="0" w:color="auto"/>
        <w:right w:val="none" w:sz="0" w:space="0" w:color="auto"/>
      </w:divBdr>
    </w:div>
    <w:div w:id="1692029756">
      <w:bodyDiv w:val="1"/>
      <w:marLeft w:val="0"/>
      <w:marRight w:val="0"/>
      <w:marTop w:val="0"/>
      <w:marBottom w:val="0"/>
      <w:divBdr>
        <w:top w:val="none" w:sz="0" w:space="0" w:color="auto"/>
        <w:left w:val="none" w:sz="0" w:space="0" w:color="auto"/>
        <w:bottom w:val="none" w:sz="0" w:space="0" w:color="auto"/>
        <w:right w:val="none" w:sz="0" w:space="0" w:color="auto"/>
      </w:divBdr>
    </w:div>
    <w:div w:id="1849562475">
      <w:bodyDiv w:val="1"/>
      <w:marLeft w:val="0"/>
      <w:marRight w:val="0"/>
      <w:marTop w:val="0"/>
      <w:marBottom w:val="0"/>
      <w:divBdr>
        <w:top w:val="none" w:sz="0" w:space="0" w:color="auto"/>
        <w:left w:val="none" w:sz="0" w:space="0" w:color="auto"/>
        <w:bottom w:val="none" w:sz="0" w:space="0" w:color="auto"/>
        <w:right w:val="none" w:sz="0" w:space="0" w:color="auto"/>
      </w:divBdr>
      <w:divsChild>
        <w:div w:id="172915586">
          <w:marLeft w:val="0"/>
          <w:marRight w:val="0"/>
          <w:marTop w:val="0"/>
          <w:marBottom w:val="0"/>
          <w:divBdr>
            <w:top w:val="none" w:sz="0" w:space="0" w:color="auto"/>
            <w:left w:val="none" w:sz="0" w:space="0" w:color="auto"/>
            <w:bottom w:val="none" w:sz="0" w:space="0" w:color="auto"/>
            <w:right w:val="none" w:sz="0" w:space="0" w:color="auto"/>
          </w:divBdr>
        </w:div>
        <w:div w:id="1158157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Shawna</dc:creator>
  <cp:lastModifiedBy>Shawna Dickson</cp:lastModifiedBy>
  <cp:revision>14</cp:revision>
  <cp:lastPrinted>2022-08-04T17:14:00Z</cp:lastPrinted>
  <dcterms:created xsi:type="dcterms:W3CDTF">2022-08-03T21:49:00Z</dcterms:created>
  <dcterms:modified xsi:type="dcterms:W3CDTF">2022-08-04T22:55:00Z</dcterms:modified>
</cp:coreProperties>
</file>